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422</w:t>
      </w:r>
    </w:p>
    <w:p>
      <w:r>
        <w:t>Bundesgericht (BGE), 2003-07-07, DE</w:t>
      </w:r>
    </w:p>
    <w:p>
      <w:r>
        <w:rPr>
          <w:b/>
        </w:rPr>
        <w:t xml:space="preserve">Quelle: </w:t>
      </w:r>
      <w:r>
        <w:t>https://mcp.opencaselaw.ch/entscheid/bge_129 III 422</w:t>
      </w:r>
    </w:p>
    <w:p>
      <w:r>
        <w:t>FR: ATF 129 III 422</w:t>
      </w:r>
    </w:p>
    <w:p>
      <w:r>
        <w:t>IT: DTF 129 III 422</w:t>
      </w:r>
    </w:p>
    <w:p>
      <w:pPr>
        <w:pStyle w:val="Heading2"/>
      </w:pPr>
      <w:r>
        <w:t>Regeste</w:t>
      </w:r>
    </w:p>
    <w:p>
      <w:r>
        <w:t>Regeste Art. 62 Abs. 1 und Art. 423 OR; Eingriffskondiktion und Geschäftsanmassung. Der Eigentümer, dessen Sache von einem dazu nicht Berechtigten vermietet wird, erleidet einen Eingriff in seine absolute Rechtsstellung. Er kann gegenüber dem Vermieter Ansprüche aus ungerechtfertigter Bereicherung oder aus unechter Geschäftsführung ohne Auftrag (Geschäftsanmassung) geltend machen, unabhängig davon, ob es zwischen ihm und dem Vermieter zu einer unmittelbaren Vermögensverschiebung gekommen ist (E. 4).</w:t>
      </w:r>
    </w:p>
    <w:p>
      <w:pPr>
        <w:pStyle w:val="Heading2"/>
      </w:pPr>
      <w:r>
        <w:t>Erwägungen</w:t>
      </w:r>
    </w:p>
    <w:p>
      <w:r>
        <w:rPr>
          <w:b/>
        </w:rPr>
        <w:t>E. 4</w:t>
      </w:r>
    </w:p>
    <w:p>
      <w:r>
        <w:t>Die Kläger stellen der Forderung der Beklagten eine Forderung der Klägerin 2 zur Verrechnung gegenüber, welche diese an den Kläger 1 abgetreten hat. Zur Begründung ihres Anspruchs machen sie geltend, die Klägerin 2 sei im Jahre 1992 Alleineigentümerin des Inventars des Restaurants "Z." in der Liegenschaft S. geworden. Im selben Jahr sei das Restaurant von den damaligen Eigentümerinnen der Liegenschaft einschliesslich des Gross- und Kleininventars zu einem einheitlichen Mietzins an C. bzw. die D. AG (im Folgenden: Pächter) vermietet worden. Im Jahre 1993 habe die Beklagte die Liegenschaft im Rahmen einer Zwangsversteigerung gekauft. Der Mietvertrag betreffend das Restaurant sei im Rahmen der Liegenschaftsversteigerung auf die Beklagte übergegangen. Diese habe sich in der Folge unrechtmässig als Vermieterin des Inventars ausgegeben und den vollen Mietzins gemäss den Verträgen entgegengenommen, obwohl sie darauf aufmerksam gemacht worden sei, dass das Inventar nach wie vor der Klägerin 2 gehöre. Damit habe sie sich unrechtmässig bereichert. Die Vorinstanz liess offen, wie es sich mit diesen tatsächlichen Behauptungen verhält, da der Klägerin 2 rechtlich auch keine Forderung gegen die Beklagte zustünde, wenn vom behaupteten Sachverhalt ausgegangen werde. So begründete es auch dann keinen Anspruch der Klägerin 2 gegen die Beklagte, wenn das Inventar in ihrem Eigentum stünde und der Betreiber des Restaurants für die Benutzung des Inventars Zahlungen an die Beklagte geleistet hätte. Zwar seien Bereicherungsansprüche des Eigentümers nach Art. 62 Abs. 1 OR gegen den unberechtigten Nutzer denkbar. Die Grundeigentümerin und Verpächterin (also die Beklagte) wäre allerdings höchstens mittelbar in diese Rechtsbeziehung einbezogen. Falls ihr das Inventar nicht gehörte, fehlten Zahlungen an sie die innere Rechtfertigung. Dies heisse aber keineswegs, dass sie sich damit zu Lasten der Klägerin 2 bereichert hätte. Deren Anspruch auf Nutzungs-Entschädigung richtete sich (nur) gegen den Pächter; falls dieser zu Unrecht unter dem Titel Nutzung etwas an die Grundeigentümerin zahlte, täte er dies auf eigenes Risiko. Der Klägerin 2 stünde daher nur gegen ihn eine Bereicherungsforderung zu, nicht gegen die Beklagte. Dem kann nicht gefolgt werden. Die Vorinstanz verkennt, dass die Beklagte - die Wahrheit der klägerischen Behauptungen hinsichtlich des Eigentums am Mobiliar vorausgesetzt - unmittelbar in die absolute Rechtsstellung der Klägerin 2 eingriff, indem sie das Mobiliar BGE 129 III 422 S. 425 vermietete, ohne dazu berechtigt zu sein. Sofern die Beklagte - der klägerischen Darstellung gemäss - bösgläubig im eigenen Interesse handelte, also das Mobiliar im Wissen um die Eigentümerstellung der Klägerin 2 an den Pächter vermietete, kann die Klägerin 2 ihren Anspruch auf die Regeln über die Geschäftsanmassung ( Art. 423 OR ) stützen ( BGE 126 III 69 E. 2a; dazu u.a.: SCHMID, Gewinnherausgabe bei unerlaubter Untermiete, recht 4/2000 S. 205 ff.; WIEGAND, ZBJV 138/2002 S. 342 ff.; CHAPPUIS, Gestion d'affaires imparfaite: du nouveau, SZW 2000 S. 201 ff.). Danach hat derjenige, der in eine fremde Rechtssphäre eingreift und damit Gewinn erzielt, dem Geschäftsherrn bzw. dem Rechtsträger den zu Unrecht erzielten Gewinn und allenfalls darüber hinaus Schadenersatz zu leisten (vgl. dazu BGE 126 III 69 E. 2 S. 72 f.; zu den Rechtsfolgen: SCHMID, Zürcher Kommentar, N. 94 ff. und 144 zu Art. 423 OR ). Der Klägerin 2 kann aber auch dann ein Anspruch gegen die Beklagte zustehen, wenn diese das Mobiliar gutgläubig ( Art. 3 ZGB ) im eigenen Interesse an den Pächter vermietet hat. Insoweit kann sie die von der Beklagten durch die unberechtigte Vermietung des Inventars erworbene Bereicherung unabhängig von einem Verschulden mit einer Eingriffskondiktion herausverlangen, also einen Bereicherungsanspruch im Sinne von Art. 62 Abs. 1 OR geltend machen (SCHMID, Kommentar, a.a.O., N. 179 zu Art. 423 OR ; SCHLUEP, Über Eingriffskondiktionen, in: Fritz Sturm [Hrsg.], Mélanges Paul Piotet, Bern 1990, S. 173 ff.; SCHWENZER, Schweizerisches Obligationenrecht, Allgemeiner Teil, 2. Aufl., Bern 2000, Rz. 57.01 ff.; VON TUHR/PETER, Allgemeiner Teil des Schweizerischen Obligationenrechts, Bd. I, 3. Aufl., Zürich 1979, S. 494 ff., Ziff. VIII). Weder die Ansprüche aus Geschäftsanmassung noch diejenigen aus ungerechtfertigter Bereicherung setzen voraus, dass zwischen dem Bereicherungsgläubiger und dem Bereicherungsschuldner eine unmittelbare Vermögensverschiebung stattgefunden hat; auszugleichen ist vielmehr in jedem Fall die Bereicherung, die der Schuldner auf Kosten (im französischen Gesetzestext von Art. 62 Abs. 1 OR : "aux dépens d'autrui") eines andern erlangt hat (HUWYLER, Zur Anspruchsgrundlage der Obligation aus ungerechtfertigter Bereicherung im Schweizerischen Obligationenrecht, in: Vogt/Zobl [Hrsg.], Festschrift für Hermann Schulin, Basel 2002, S. 41 ff., insbes. S. 66 f.; zur Frage des Erfordernisses einer Vermögensverschiebung namentlich auch CHAPPUIS, a.a.O., S. 204; SCHWENZER, a.a.O., Rz. 55.09 und 57.10 mit weiteren Hinweisen). Die Vorinstanz hat demnach Bundesrecht verletzt, indem sie einen Anspruch der Kläger auf der Grundlage des von ihnen behaupteten BGE 129 III 422 S. 426 Sachverhalts verneinte und sie auf mögliche Ansprüche gegen den Pächter verwies. Die Berufung ist insoweit gutzuheissen und das angefochtene Urteil aufzuheben. Dem angefochtenen Urteil sind zu entscheiderheblichen strittigen Fragen keine tatsächlichen Feststellungen zu entnehmen, namentlich darüber, ob die Klägerin 2 Eigentümerin des Mobiliars des Restaurants "Z." ist, ob und allenfalls in welcher Höhe die Beklagte als Erwerberin der Liegenschaft S. für die Überlassung des Mobiliars an den Pächter Mietzins einkassiert hat und ob sie gegebenenfalls gutgläubig gehandelt oder sich eine Vermieterstellung bösgläubig angemasst hat. Die Sache ist daher zur Ergänzung des Sachverhalts und zu neuer Entscheidung an die Vorinstanz zurückzuweisen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